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 EUROPA E O ALENTEJO, </w:t>
      </w:r>
      <w:r>
        <w:rPr>
          <w:b/>
          <w:bCs/>
          <w:sz w:val="22"/>
          <w:szCs w:val="22"/>
        </w:rPr>
        <w:t>contributos da União Europeia para o Desenvolvimento Regional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Numa altura crucial para a Europa, onde tantos destinos se cruzam, as perguntas trazidas aqui hoje são: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1"/>
        </w:numPr>
        <w:bidi w:val="0"/>
        <w:jc w:val="both"/>
        <w:rPr/>
      </w:pPr>
      <w:r>
        <w:rPr/>
        <w:t>qual o papel de Portugal, mais especificamente do Alentejo e de Mora, na Europa?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1"/>
        </w:numPr>
        <w:bidi w:val="0"/>
        <w:jc w:val="both"/>
        <w:rPr/>
      </w:pPr>
      <w:r>
        <w:rPr/>
        <w:t>onde estamos, e para onde vamos?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Das muitas conquistas conseguidas com o apoio dos fundos europeus, em que o Alentejo contou (no perído 2014-2020) com uma taxa de execução de 103% de programas com um valor de €268M (dos quais €2.4M executados em Mora, distribuídos por 20 operações), destaca-se a significativa redução do abandono escolar em toda a região como a maior história de sucesso, a qual terá maior impacto a longo prazo.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Relativamente ao valor acrescentado por estes programas, salientam-se uma maior eficácia na sua execução e um aumento do capital institucional e relacional; 91% dos operadores afirmam que os fundos são indispensáveis ao desenvolvimento regional.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Alguns números sobre o programa em curso (2021-2027):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2"/>
        </w:numPr>
        <w:bidi w:val="0"/>
        <w:jc w:val="both"/>
        <w:rPr/>
      </w:pPr>
      <w:r>
        <w:rPr/>
        <w:t>os fundos de coesão receberam um pacote financeiro de €330.000M, dos quais, através do Acordo de Parceria assinado com o Estado Português em Julho 2022, € 23.000M (7%) foram destinados a Portugal e €1.104M (0.3% do valor total, 5% do total nacional) ao Alentejo. Os primeiros avisos foram lançados em Março 2023.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De destacar o papel a desempenhar pelas Comunidades Intermunicipais, assim como uma maior eficiência em todo o processo, nomeadamente através de decisões mais rápidas sobre as candidaturas (no máximo de 60 dias a contar da sua apresentação) e prazos de pagamento/reembolso encurtados para um máximo de 10 dias úteis.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Quanto ao futuro das politicas de coesão, ameaças pairam no horizonte, a saber: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3"/>
        </w:numPr>
        <w:bidi w:val="0"/>
        <w:jc w:val="both"/>
        <w:rPr/>
      </w:pPr>
      <w:r>
        <w:rPr/>
        <w:t>a proposta em discussão de uma reforma profunda do modelo de financiamento;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3"/>
        </w:numPr>
        <w:bidi w:val="0"/>
        <w:jc w:val="both"/>
        <w:rPr/>
      </w:pPr>
      <w:r>
        <w:rPr/>
        <w:t>a centralização, a nível nacional, da política de coesão, à imagem do funcionamento do PRR, eliminando os programas regionais;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3"/>
        </w:numPr>
        <w:bidi w:val="0"/>
        <w:jc w:val="both"/>
        <w:rPr/>
      </w:pPr>
      <w:r>
        <w:rPr/>
        <w:t>as novas prioridades em matéria de investimento, nomeadamente um possível alargamento da União (Ucrânia, Moldávia, Balcãs), a nova política de defesa europeia e a necessidade de reindustrializar a Europa.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As apostas nestas áreas de investimento poderão significar uma redução dos montantes alocados à política de coesão.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Especificamente a propósito do Alentejo, a retirada da Leziria da região e o impacto das actividades ligadas ao porto de Sines no PIB poderão igualmente levar a uma revisão da posição relativa do Alentejo enquanto região não desenvolvida.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Sugere-se a leitura dos relatórios Draghi (sobre a industrialização) e Letta, (sobre a competitividade) assim como o 9° Relatório da Coesão, que darão uma ideia mais profunda dos desafios que a Europa enfrenta hoje.</w:t>
      </w:r>
    </w:p>
    <w:p>
      <w:pPr>
        <w:pStyle w:val="Normal"/>
        <w:bidi w:val="0"/>
        <w:jc w:val="both"/>
        <w:rPr/>
      </w:pPr>
      <w:r>
        <w:rPr/>
        <w:t>Seguiu-se um animado período de debate durante o qual, a propósito de temas como o investimento e a coesão regional, a regionalização administrativa, a luta contra as alterações climáticas e a agricultura, uma preocupação ficou patente em todas as intervenções: como é que mudamos de paradigma de desenvolvimento e como podem os agentes locais (como os ali presentes) contribuir para a tomada de decisões.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T</w:t>
      </w:r>
      <w:r>
        <w:rPr/>
        <w:t xml:space="preserve">iago </w:t>
      </w:r>
      <w:r>
        <w:rPr/>
        <w:t>T</w:t>
      </w:r>
      <w:r>
        <w:rPr/>
        <w:t xml:space="preserve">eotónio </w:t>
      </w:r>
      <w:r>
        <w:rPr/>
        <w:t>P</w:t>
      </w:r>
      <w:r>
        <w:rPr/>
        <w:t>ereira</w:t>
      </w:r>
      <w:r>
        <w:rPr/>
        <w:t xml:space="preserve"> respondeu mencionando os eixos prioritários do actual quadro de apoio europeu para o Alentejo: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4"/>
        </w:numPr>
        <w:bidi w:val="0"/>
        <w:jc w:val="both"/>
        <w:rPr/>
      </w:pPr>
      <w:r>
        <w:rPr/>
        <w:t>as indústrias culturais;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4"/>
        </w:numPr>
        <w:bidi w:val="0"/>
        <w:jc w:val="both"/>
        <w:rPr/>
      </w:pPr>
      <w:r>
        <w:rPr/>
        <w:t>a inovação social;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5"/>
        </w:numPr>
        <w:bidi w:val="0"/>
        <w:jc w:val="both"/>
        <w:rPr/>
      </w:pPr>
      <w:r>
        <w:rPr/>
        <w:t>os serviços de hospitalidade e turismo;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5"/>
        </w:numPr>
        <w:bidi w:val="0"/>
        <w:jc w:val="both"/>
        <w:rPr/>
      </w:pPr>
      <w:r>
        <w:rPr/>
        <w:t>a mobilidade e logística;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5"/>
        </w:numPr>
        <w:bidi w:val="0"/>
        <w:jc w:val="both"/>
        <w:rPr/>
      </w:pPr>
      <w:r>
        <w:rPr/>
        <w:t>a bioeconomia sustentável;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numPr>
          <w:ilvl w:val="0"/>
          <w:numId w:val="5"/>
        </w:numPr>
        <w:bidi w:val="0"/>
        <w:jc w:val="both"/>
        <w:rPr/>
      </w:pPr>
      <w:r>
        <w:rPr/>
        <w:t>os recursos minerais.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 w:characterSet="windows-1252"/>
    <w:family w:val="swiss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pt-P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pt-PT" w:eastAsia="zh-CN" w:bidi="hi-IN"/>
    </w:rPr>
  </w:style>
  <w:style w:type="character" w:styleId="Marcas">
    <w:name w:val="Marca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61</TotalTime>
  <Application>LibreOffice/24.8.1.2$Windows_X86_64 LibreOffice_project/87fa9aec1a63e70835390b81c40bb8993f1d4ff6</Application>
  <AppVersion>15.0000</AppVersion>
  <Pages>2</Pages>
  <Words>537</Words>
  <Characters>2860</Characters>
  <CharactersWithSpaces>3361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2024-10-19T16:13:22Z</dcterms:created>
  <dc:creator/>
  <dc:description/>
  <dc:language>en-US</dc:language>
  <cp:lastModifiedBy/>
  <dcterms:modified xsi:type="dcterms:W3CDTF">2024-10-20T20:54:53Z</dcterms:modified>
  <cp:revision>2</cp:revision>
  <dc:subject/>
  <dc:title/>
</cp:coreProperties>
</file>